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FA" w:rsidRDefault="00096EFA" w:rsidP="00096EFA">
      <w:pPr>
        <w:jc w:val="center"/>
        <w:outlineLvl w:val="0"/>
        <w:rPr>
          <w:rFonts w:eastAsia="Times New Roman"/>
          <w:color w:val="333333"/>
          <w:kern w:val="36"/>
          <w:sz w:val="28"/>
          <w:szCs w:val="28"/>
          <w:lang w:val="ru-RU" w:eastAsia="ru-RU" w:bidi="ar-SA"/>
        </w:rPr>
      </w:pPr>
      <w:r w:rsidRPr="00096EFA">
        <w:rPr>
          <w:rFonts w:ascii="PT Sans Bold" w:eastAsia="Times New Roman" w:hAnsi="PT Sans Bold"/>
          <w:color w:val="333333"/>
          <w:kern w:val="36"/>
          <w:sz w:val="28"/>
          <w:szCs w:val="28"/>
          <w:lang w:val="ru-RU" w:eastAsia="ru-RU" w:bidi="ar-SA"/>
        </w:rPr>
        <w:t>Публичный договор по вывозу твердых бытовых отходов</w:t>
      </w:r>
    </w:p>
    <w:p w:rsidR="00096EFA" w:rsidRPr="00096EFA" w:rsidRDefault="00096EFA" w:rsidP="00096EFA">
      <w:pPr>
        <w:jc w:val="center"/>
        <w:outlineLvl w:val="0"/>
        <w:rPr>
          <w:rFonts w:eastAsia="Times New Roman"/>
          <w:color w:val="333333"/>
          <w:kern w:val="36"/>
          <w:sz w:val="28"/>
          <w:szCs w:val="28"/>
          <w:lang w:val="ru-RU" w:eastAsia="ru-RU" w:bidi="ar-SA"/>
        </w:rPr>
      </w:pPr>
    </w:p>
    <w:p w:rsid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с</w:t>
      </w:r>
      <w:proofErr w:type="gramStart"/>
      <w:r w:rsidRPr="00096EFA">
        <w:rPr>
          <w:rFonts w:ascii="Arial" w:eastAsia="Times New Roman" w:hAnsi="Arial" w:cs="Arial"/>
          <w:color w:val="333333"/>
          <w:sz w:val="19"/>
          <w:szCs w:val="19"/>
          <w:lang w:val="ru-RU" w:eastAsia="ru-RU" w:bidi="ar-SA"/>
        </w:rPr>
        <w:t>.Д</w:t>
      </w:r>
      <w:proofErr w:type="gramEnd"/>
      <w:r w:rsidRPr="00096EFA">
        <w:rPr>
          <w:rFonts w:ascii="Arial" w:eastAsia="Times New Roman" w:hAnsi="Arial" w:cs="Arial"/>
          <w:color w:val="333333"/>
          <w:sz w:val="19"/>
          <w:szCs w:val="19"/>
          <w:lang w:val="ru-RU" w:eastAsia="ru-RU" w:bidi="ar-SA"/>
        </w:rPr>
        <w:t>ульдурга                                                                                       «14» июля 2016 г.</w:t>
      </w:r>
    </w:p>
    <w:p w:rsidR="00096EFA" w:rsidRDefault="00096EFA" w:rsidP="00096EFA">
      <w:pPr>
        <w:spacing w:line="278" w:lineRule="atLeast"/>
        <w:rPr>
          <w:rFonts w:ascii="Arial" w:eastAsia="Times New Roman" w:hAnsi="Arial" w:cs="Arial"/>
          <w:color w:val="333333"/>
          <w:sz w:val="19"/>
          <w:szCs w:val="19"/>
          <w:lang w:val="ru-RU" w:eastAsia="ru-RU" w:bidi="ar-SA"/>
        </w:rPr>
      </w:pPr>
    </w:p>
    <w:p w:rsidR="00096EFA" w:rsidRDefault="00096EFA" w:rsidP="00096EFA">
      <w:pPr>
        <w:spacing w:line="278" w:lineRule="atLeast"/>
        <w:rPr>
          <w:rFonts w:ascii="Arial" w:eastAsia="Times New Roman" w:hAnsi="Arial" w:cs="Arial"/>
          <w:color w:val="333333"/>
          <w:sz w:val="19"/>
          <w:szCs w:val="19"/>
          <w:lang w:val="ru-RU" w:eastAsia="ru-RU" w:bidi="ar-SA"/>
        </w:rPr>
      </w:pP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proofErr w:type="gramStart"/>
      <w:r w:rsidRPr="00096EFA">
        <w:rPr>
          <w:rFonts w:ascii="Arial" w:eastAsia="Times New Roman" w:hAnsi="Arial" w:cs="Arial"/>
          <w:b/>
          <w:bCs/>
          <w:color w:val="333333"/>
          <w:sz w:val="19"/>
          <w:lang w:val="ru-RU" w:eastAsia="ru-RU" w:bidi="ar-SA"/>
        </w:rPr>
        <w:t xml:space="preserve">Настоящий Публичный Договор составлен в соответствии с требованиями статьи 437 Гражданского кодекса Российской Федерации и является официальным, публичным и безотзывным предложением (публичной офертой)  МП «Дульдурга» в лице директора </w:t>
      </w:r>
      <w:proofErr w:type="spellStart"/>
      <w:r w:rsidRPr="00096EFA">
        <w:rPr>
          <w:rFonts w:ascii="Arial" w:eastAsia="Times New Roman" w:hAnsi="Arial" w:cs="Arial"/>
          <w:b/>
          <w:bCs/>
          <w:color w:val="333333"/>
          <w:sz w:val="19"/>
          <w:lang w:val="ru-RU" w:eastAsia="ru-RU" w:bidi="ar-SA"/>
        </w:rPr>
        <w:t>Намсараева</w:t>
      </w:r>
      <w:proofErr w:type="spellEnd"/>
      <w:r w:rsidRPr="00096EFA">
        <w:rPr>
          <w:rFonts w:ascii="Arial" w:eastAsia="Times New Roman" w:hAnsi="Arial" w:cs="Arial"/>
          <w:b/>
          <w:bCs/>
          <w:color w:val="333333"/>
          <w:sz w:val="19"/>
          <w:lang w:val="ru-RU" w:eastAsia="ru-RU" w:bidi="ar-SA"/>
        </w:rPr>
        <w:t xml:space="preserve"> </w:t>
      </w:r>
      <w:proofErr w:type="spellStart"/>
      <w:r w:rsidRPr="00096EFA">
        <w:rPr>
          <w:rFonts w:ascii="Arial" w:eastAsia="Times New Roman" w:hAnsi="Arial" w:cs="Arial"/>
          <w:b/>
          <w:bCs/>
          <w:color w:val="333333"/>
          <w:sz w:val="19"/>
          <w:lang w:val="ru-RU" w:eastAsia="ru-RU" w:bidi="ar-SA"/>
        </w:rPr>
        <w:t>Базарсадо</w:t>
      </w:r>
      <w:proofErr w:type="spellEnd"/>
      <w:r w:rsidRPr="00096EFA">
        <w:rPr>
          <w:rFonts w:ascii="Arial" w:eastAsia="Times New Roman" w:hAnsi="Arial" w:cs="Arial"/>
          <w:b/>
          <w:bCs/>
          <w:color w:val="333333"/>
          <w:sz w:val="19"/>
          <w:lang w:val="ru-RU" w:eastAsia="ru-RU" w:bidi="ar-SA"/>
        </w:rPr>
        <w:t xml:space="preserve"> </w:t>
      </w:r>
      <w:proofErr w:type="spellStart"/>
      <w:r w:rsidRPr="00096EFA">
        <w:rPr>
          <w:rFonts w:ascii="Arial" w:eastAsia="Times New Roman" w:hAnsi="Arial" w:cs="Arial"/>
          <w:b/>
          <w:bCs/>
          <w:color w:val="333333"/>
          <w:sz w:val="19"/>
          <w:lang w:val="ru-RU" w:eastAsia="ru-RU" w:bidi="ar-SA"/>
        </w:rPr>
        <w:t>Намсараевича</w:t>
      </w:r>
      <w:proofErr w:type="spellEnd"/>
      <w:r w:rsidRPr="00096EFA">
        <w:rPr>
          <w:rFonts w:ascii="Arial" w:eastAsia="Times New Roman" w:hAnsi="Arial" w:cs="Arial"/>
          <w:b/>
          <w:bCs/>
          <w:color w:val="333333"/>
          <w:sz w:val="19"/>
          <w:lang w:val="ru-RU" w:eastAsia="ru-RU" w:bidi="ar-SA"/>
        </w:rPr>
        <w:t>,  именуемый  в дальнейшем Исполнитель, с одной стороны, и гражданин, использующий для личных, домашних нужд услуги по вывозу твердых коммунальных отходов (ТКО), именуемый в дальнейшем Потребитель заключили настоящий Договор о</w:t>
      </w:r>
      <w:proofErr w:type="gramEnd"/>
      <w:r w:rsidRPr="00096EFA">
        <w:rPr>
          <w:rFonts w:ascii="Arial" w:eastAsia="Times New Roman" w:hAnsi="Arial" w:cs="Arial"/>
          <w:b/>
          <w:bCs/>
          <w:color w:val="333333"/>
          <w:sz w:val="19"/>
          <w:lang w:val="ru-RU" w:eastAsia="ru-RU" w:bidi="ar-SA"/>
        </w:rPr>
        <w:t xml:space="preserve"> </w:t>
      </w:r>
      <w:proofErr w:type="gramStart"/>
      <w:r w:rsidRPr="00096EFA">
        <w:rPr>
          <w:rFonts w:ascii="Arial" w:eastAsia="Times New Roman" w:hAnsi="Arial" w:cs="Arial"/>
          <w:b/>
          <w:bCs/>
          <w:color w:val="333333"/>
          <w:sz w:val="19"/>
          <w:lang w:val="ru-RU" w:eastAsia="ru-RU" w:bidi="ar-SA"/>
        </w:rPr>
        <w:t>нижеследующем</w:t>
      </w:r>
      <w:proofErr w:type="gramEnd"/>
      <w:r w:rsidRPr="00096EFA">
        <w:rPr>
          <w:rFonts w:ascii="Arial" w:eastAsia="Times New Roman" w:hAnsi="Arial" w:cs="Arial"/>
          <w:b/>
          <w:bCs/>
          <w:color w:val="333333"/>
          <w:sz w:val="19"/>
          <w:lang w:val="ru-RU" w:eastAsia="ru-RU" w:bidi="ar-SA"/>
        </w:rPr>
        <w:t>:</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1.ПРЕДМЕТ ДОГОВОРА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1.1. По настоящему Публичному договору (далее по тексту – Договор) Исполнитель обязуется оказывать услуги по регулярному вывозу твердых коммунальных отходов (ТКО), согласно установленному графику в микрорайонах частного сектора с</w:t>
      </w:r>
      <w:proofErr w:type="gramStart"/>
      <w:r w:rsidRPr="00096EFA">
        <w:rPr>
          <w:rFonts w:ascii="Arial" w:eastAsia="Times New Roman" w:hAnsi="Arial" w:cs="Arial"/>
          <w:color w:val="333333"/>
          <w:sz w:val="19"/>
          <w:szCs w:val="19"/>
          <w:lang w:val="ru-RU" w:eastAsia="ru-RU" w:bidi="ar-SA"/>
        </w:rPr>
        <w:t>.Д</w:t>
      </w:r>
      <w:proofErr w:type="gramEnd"/>
      <w:r w:rsidRPr="00096EFA">
        <w:rPr>
          <w:rFonts w:ascii="Arial" w:eastAsia="Times New Roman" w:hAnsi="Arial" w:cs="Arial"/>
          <w:color w:val="333333"/>
          <w:sz w:val="19"/>
          <w:szCs w:val="19"/>
          <w:lang w:val="ru-RU" w:eastAsia="ru-RU" w:bidi="ar-SA"/>
        </w:rPr>
        <w:t>ульдурга, а Потребитель обязуется производить оплату этих услуг.</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1.2. Для целей настоящего Договора стороны договорились о том, что под «твердыми коммунальными отходами» (далее по тексту «ТКО», «Отходы») понимаются отходы, образующиеся в результате жизнедеятельности населения (приготовление пищи, упаковка товаров, уборка жилых помещений и т. п.).</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1.3. Заказ на услуги по вывозу ТКО считается оформленным с момента начала пользования Потребителем услугами Исполнителя. Факт пользования определяется началом организованного сбора и вывоза твердых бытовых отходов с территории частного сектора  с</w:t>
      </w:r>
      <w:proofErr w:type="gramStart"/>
      <w:r w:rsidRPr="00096EFA">
        <w:rPr>
          <w:rFonts w:ascii="Arial" w:eastAsia="Times New Roman" w:hAnsi="Arial" w:cs="Arial"/>
          <w:color w:val="333333"/>
          <w:sz w:val="19"/>
          <w:szCs w:val="19"/>
          <w:lang w:val="ru-RU" w:eastAsia="ru-RU" w:bidi="ar-SA"/>
        </w:rPr>
        <w:t>.Д</w:t>
      </w:r>
      <w:proofErr w:type="gramEnd"/>
      <w:r w:rsidRPr="00096EFA">
        <w:rPr>
          <w:rFonts w:ascii="Arial" w:eastAsia="Times New Roman" w:hAnsi="Arial" w:cs="Arial"/>
          <w:color w:val="333333"/>
          <w:sz w:val="19"/>
          <w:szCs w:val="19"/>
          <w:lang w:val="ru-RU" w:eastAsia="ru-RU" w:bidi="ar-SA"/>
        </w:rPr>
        <w:t>ульдурга.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1.4. Полным и безоговорочным акцептом настоящей публичной оферты является осуществление Потребителем первой оплаты предложенных Исполнителем услуг в порядке, определенном в разделе 2 настоящего Договора (ст. 438 ГК РФ).</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1.5. Акцепт оферты означает, что Потребитель согласен со всеми положениями настоящего предложения, и равносилен заключению договора об оказании услуг по сбору и вывозу твердых коммунальных отходов.</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1.6. Контроль соблюдения графиков вывоза коммунальных отходов и санитарно-гигиенических требований осуществляется Администрацией сельского поселения «Дульдурга».</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2. ПОРЯДОК РАСЧЕТОВ И ОПЛАТЫ УСЛУГ</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2.1. Потребитель производит оплату по настоящему Договору, по тарифам, рассчитанным с учетом норм накопления. В случае отсутствия регистрации в жилом помещении, расчет оплаты производится на собственника.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2.1.1. Размер платы за сбор и вывоз ТКО с частного сектора сельского поселения «Дульдурга» составляет</w:t>
      </w:r>
      <w:r w:rsidRPr="00096EFA">
        <w:rPr>
          <w:rFonts w:ascii="Arial" w:eastAsia="Times New Roman" w:hAnsi="Arial" w:cs="Arial"/>
          <w:color w:val="333333"/>
          <w:sz w:val="19"/>
          <w:lang w:val="ru-RU" w:eastAsia="ru-RU" w:bidi="ar-SA"/>
        </w:rPr>
        <w:t> </w:t>
      </w:r>
      <w:r w:rsidRPr="00096EFA">
        <w:rPr>
          <w:rFonts w:ascii="Arial" w:eastAsia="Times New Roman" w:hAnsi="Arial" w:cs="Arial"/>
          <w:b/>
          <w:bCs/>
          <w:color w:val="333333"/>
          <w:sz w:val="19"/>
          <w:lang w:val="ru-RU" w:eastAsia="ru-RU" w:bidi="ar-SA"/>
        </w:rPr>
        <w:t>50 рублей в месяц с семьи (двора).  </w:t>
      </w:r>
      <w:r w:rsidRPr="00096EFA">
        <w:rPr>
          <w:rFonts w:ascii="Arial" w:eastAsia="Times New Roman" w:hAnsi="Arial" w:cs="Arial"/>
          <w:color w:val="333333"/>
          <w:sz w:val="19"/>
          <w:szCs w:val="19"/>
          <w:lang w:val="ru-RU" w:eastAsia="ru-RU" w:bidi="ar-SA"/>
        </w:rPr>
        <w:t>Размер платы утвержден решением Совета сельского поселения «Дульдурга»  от 24 июня 2016 года № 50 «Об утверждении тарифо</w:t>
      </w:r>
      <w:proofErr w:type="gramStart"/>
      <w:r w:rsidRPr="00096EFA">
        <w:rPr>
          <w:rFonts w:ascii="Arial" w:eastAsia="Times New Roman" w:hAnsi="Arial" w:cs="Arial"/>
          <w:color w:val="333333"/>
          <w:sz w:val="19"/>
          <w:szCs w:val="19"/>
          <w:lang w:val="ru-RU" w:eastAsia="ru-RU" w:bidi="ar-SA"/>
        </w:rPr>
        <w:t>в(</w:t>
      </w:r>
      <w:proofErr w:type="gramEnd"/>
      <w:r w:rsidRPr="00096EFA">
        <w:rPr>
          <w:rFonts w:ascii="Arial" w:eastAsia="Times New Roman" w:hAnsi="Arial" w:cs="Arial"/>
          <w:color w:val="333333"/>
          <w:sz w:val="19"/>
          <w:szCs w:val="19"/>
          <w:lang w:val="ru-RU" w:eastAsia="ru-RU" w:bidi="ar-SA"/>
        </w:rPr>
        <w:t>цен) на сбор и вывоз твердых бытовых отходов с территории частного сектора сельского поселения «Дульдурга».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2.2. К ТКО не относятся листва и ветки деревьев, трава, строительный мусор, металлолом, навоз, легковоспламеняющиеся вещества, крупногабаритные отходы.</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2.3. Расчетный период для оплаты за вывоз ТКО устанавливается в один календарный месяц.</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2.4.Способ оплаты по Договору: передача Потребителем наличных и безналичных денежных средств Исполнителю.</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2.5. Потребитель может производить предварительную оплату в счет будущих месяцев. В случае увеличения тарифов, Потребитель обязан произвести расчет и доплату по новому тарифу.</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3. ОБЯЗАННОСТИ СТОРОН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3.1. Исполнитель обязан: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3.1.1. Оказывать услуги по сбору мешков с ТКО от домовладений не реже двух раз в месяц.</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lastRenderedPageBreak/>
        <w:t>3.1.2. Представлять по запросу Потребителя необходимую и достоверную информацию об услугах по вывозу ТКО.</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3.1.3. Устранять недостатки в оказанных услугах в течение пяти дней со дня предъявления требований Потребителем.</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3.2. Потребитель обязан: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3.2.1. Своевременно производить оплату за потребленные услуги по вывозу ТКО.</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3.2.2. Оказывать Исполнителю содействие в предоставлении услуг. Потребитель, проживающий в частном секторе, обязан складировать коммунальные отходы на придомовой территории, производить вынос твердых коммунальных отходов (в мешках, мусорных пакетах, весом, не превышающим 15 кг.) согласно графику обслуживания, т. е. проезду спецмашин Исполнителя по данной улице.</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4. ПРАВА СТОРОН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4.1. Исполнитель имеет право:</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4.1.1. Пересматривать действующие цены на вывоз твердых коммунальных отходов в связи с изменением цен на материалы, ГСМ и т.д. с предварительным уведомлением Потребителя через средства массовой информации.</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4.1.2. Принимать меры по взысканию задолженности, т.е. передавать материалы в судебные органы в случае просрочки Потребителем оплаты за предоставленные услуги. При этом расходы, связанные с рассмотрением судебного дела, будут отнесены к Потребителю.</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4.2. Потребитель имеет право:</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4.2.1. Проверять качество работ, выполняемых Исполнителем.</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4.2.2. Устанавливать разумные сроки для устранения недостатков, обнаруженных в ходе предоставления Исполнителем услуг по вывозу твердых бытовых отходов.</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5. ОТВЕТСТВЕННОСТЬ СТОРОН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5.1. Стороны несут ответственность за неисполнение или ненадлежащее исполнение взаимных обязательств по настоящему Договору, согласно действующему законодательству.</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5.2. К причинам, из-за которых обе Стороны не несут ответственность, относятся форс-мажорные обстоятельства, не зависящие от Сторон. Перерасчет оплаты за не оказанные услуги в этих случаях не производится.</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6. ПРОЧИЕ УСЛОВИЯ</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6.1. Стороны признают, что изменения тарифов, норм накопления и правил предоставления услуг по вывозу ТКО, утверждаемые в соответствии с действующим законодательством, являются основанием для изменения условий договора.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6.2. Возникновение споров между Сторонами при исполнении договора не является основанием для отказа от выполнения договорных обязательств.</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6.3. В случае неоказания или оказания услуг ненадлежащего качества Исполнителем по настоящему Договору Потребитель в течение 3 дней должен в письменной форме уведомить об этом Исполнителя (нарочно или почтой). В случае отсутствия подобного обращения в адрес Исполнителя услуга будет считаться надлежаще оказанной. Все споры и разногласия между Сторонами по исполнению настоящего Договора разрешаются путем переговоров в десятидневный срок. Не предъявление претензии в установленные сроки влечет утрату права требования по данной претензии. В случае невозможности такого урегулирования все споры разрешаются в судебном порядке в соответствии с действующим законодательством РФ.</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6.4. Настоящий Договор вступает в силу со дня его опубликования, распространяет свое действие на отношения, возникшие с 14 июля 2016 года, согласно приложенному графику вывоза ТКО, и действует до даты следующего опубликования в средствах массовой информации.</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6.5. Во всем остальном, что не предусмотрено настоящим Договором, Стороны руководствуются действующим законодательством.</w:t>
      </w:r>
    </w:p>
    <w:p w:rsidR="00096EFA" w:rsidRPr="00096EFA" w:rsidRDefault="00096EFA" w:rsidP="00096EFA">
      <w:pPr>
        <w:spacing w:line="278" w:lineRule="atLeast"/>
        <w:jc w:val="center"/>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РЕКВИЗИТЫ СТОРОН: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b/>
          <w:bCs/>
          <w:color w:val="333333"/>
          <w:sz w:val="19"/>
          <w:lang w:val="ru-RU" w:eastAsia="ru-RU" w:bidi="ar-SA"/>
        </w:rPr>
        <w:t>Исполнитель</w:t>
      </w:r>
      <w:r w:rsidRPr="00096EFA">
        <w:rPr>
          <w:rFonts w:ascii="Arial" w:eastAsia="Times New Roman" w:hAnsi="Arial" w:cs="Arial"/>
          <w:color w:val="333333"/>
          <w:sz w:val="19"/>
          <w:szCs w:val="19"/>
          <w:lang w:val="ru-RU" w:eastAsia="ru-RU" w:bidi="ar-SA"/>
        </w:rPr>
        <w:t>:</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МП «Дульдурга»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Юридический адрес:</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lastRenderedPageBreak/>
        <w:t>687200 Забайкальский край</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Агинский Бурятский округ</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Дульдургинский район</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с</w:t>
      </w:r>
      <w:proofErr w:type="gramStart"/>
      <w:r w:rsidRPr="00096EFA">
        <w:rPr>
          <w:rFonts w:ascii="Arial" w:eastAsia="Times New Roman" w:hAnsi="Arial" w:cs="Arial"/>
          <w:color w:val="333333"/>
          <w:sz w:val="19"/>
          <w:szCs w:val="19"/>
          <w:lang w:val="ru-RU" w:eastAsia="ru-RU" w:bidi="ar-SA"/>
        </w:rPr>
        <w:t>.Д</w:t>
      </w:r>
      <w:proofErr w:type="gramEnd"/>
      <w:r w:rsidRPr="00096EFA">
        <w:rPr>
          <w:rFonts w:ascii="Arial" w:eastAsia="Times New Roman" w:hAnsi="Arial" w:cs="Arial"/>
          <w:color w:val="333333"/>
          <w:sz w:val="19"/>
          <w:szCs w:val="19"/>
          <w:lang w:val="ru-RU" w:eastAsia="ru-RU" w:bidi="ar-SA"/>
        </w:rPr>
        <w:t>ульдурга ул. 9- е января ,6-А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ИНН 8002021120</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КПП 800201001</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proofErr w:type="spellStart"/>
      <w:proofErr w:type="gramStart"/>
      <w:r w:rsidRPr="00096EFA">
        <w:rPr>
          <w:rFonts w:ascii="Arial" w:eastAsia="Times New Roman" w:hAnsi="Arial" w:cs="Arial"/>
          <w:color w:val="333333"/>
          <w:sz w:val="19"/>
          <w:szCs w:val="19"/>
          <w:lang w:val="ru-RU" w:eastAsia="ru-RU" w:bidi="ar-SA"/>
        </w:rPr>
        <w:t>р</w:t>
      </w:r>
      <w:proofErr w:type="spellEnd"/>
      <w:proofErr w:type="gramEnd"/>
      <w:r w:rsidRPr="00096EFA">
        <w:rPr>
          <w:rFonts w:ascii="Arial" w:eastAsia="Times New Roman" w:hAnsi="Arial" w:cs="Arial"/>
          <w:color w:val="333333"/>
          <w:sz w:val="19"/>
          <w:szCs w:val="19"/>
          <w:lang w:val="ru-RU" w:eastAsia="ru-RU" w:bidi="ar-SA"/>
        </w:rPr>
        <w:t>/с 40602810974000029015</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к/с 30101810500000000637</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БИК 047601637</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Отделение 8600 Сбербанка России г</w:t>
      </w:r>
      <w:proofErr w:type="gramStart"/>
      <w:r w:rsidRPr="00096EFA">
        <w:rPr>
          <w:rFonts w:ascii="Arial" w:eastAsia="Times New Roman" w:hAnsi="Arial" w:cs="Arial"/>
          <w:color w:val="333333"/>
          <w:sz w:val="19"/>
          <w:szCs w:val="19"/>
          <w:lang w:val="ru-RU" w:eastAsia="ru-RU" w:bidi="ar-SA"/>
        </w:rPr>
        <w:t>.Ч</w:t>
      </w:r>
      <w:proofErr w:type="gramEnd"/>
      <w:r w:rsidRPr="00096EFA">
        <w:rPr>
          <w:rFonts w:ascii="Arial" w:eastAsia="Times New Roman" w:hAnsi="Arial" w:cs="Arial"/>
          <w:color w:val="333333"/>
          <w:sz w:val="19"/>
          <w:szCs w:val="19"/>
          <w:lang w:val="ru-RU" w:eastAsia="ru-RU" w:bidi="ar-SA"/>
        </w:rPr>
        <w:t>ита</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xml:space="preserve">Директор МП «Дульдурга» __________________  Б.Н. </w:t>
      </w:r>
      <w:proofErr w:type="spellStart"/>
      <w:r w:rsidRPr="00096EFA">
        <w:rPr>
          <w:rFonts w:ascii="Arial" w:eastAsia="Times New Roman" w:hAnsi="Arial" w:cs="Arial"/>
          <w:color w:val="333333"/>
          <w:sz w:val="19"/>
          <w:szCs w:val="19"/>
          <w:lang w:val="ru-RU" w:eastAsia="ru-RU" w:bidi="ar-SA"/>
        </w:rPr>
        <w:t>Намсараев</w:t>
      </w:r>
      <w:proofErr w:type="spellEnd"/>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w:t>
      </w:r>
    </w:p>
    <w:p w:rsidR="00096EFA" w:rsidRPr="00096EFA" w:rsidRDefault="00096EFA" w:rsidP="00096EFA">
      <w:pPr>
        <w:spacing w:line="278" w:lineRule="atLeast"/>
        <w:rPr>
          <w:rFonts w:ascii="Arial" w:eastAsia="Times New Roman" w:hAnsi="Arial" w:cs="Arial"/>
          <w:color w:val="333333"/>
          <w:sz w:val="19"/>
          <w:szCs w:val="19"/>
          <w:lang w:val="ru-RU" w:eastAsia="ru-RU" w:bidi="ar-SA"/>
        </w:rPr>
      </w:pPr>
      <w:r w:rsidRPr="00096EFA">
        <w:rPr>
          <w:rFonts w:ascii="Arial" w:eastAsia="Times New Roman" w:hAnsi="Arial" w:cs="Arial"/>
          <w:color w:val="333333"/>
          <w:sz w:val="19"/>
          <w:szCs w:val="19"/>
          <w:lang w:val="ru-RU" w:eastAsia="ru-RU" w:bidi="ar-SA"/>
        </w:rPr>
        <w:t> </w:t>
      </w:r>
    </w:p>
    <w:p w:rsidR="003D4870" w:rsidRPr="00096EFA" w:rsidRDefault="003D4870">
      <w:pPr>
        <w:rPr>
          <w:lang w:val="ru-RU"/>
        </w:rPr>
      </w:pPr>
    </w:p>
    <w:sectPr w:rsidR="003D4870" w:rsidRPr="00096EFA" w:rsidSect="003D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Sans 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EFA"/>
    <w:rsid w:val="000946D3"/>
    <w:rsid w:val="00096EFA"/>
    <w:rsid w:val="001D67C1"/>
    <w:rsid w:val="00244D5F"/>
    <w:rsid w:val="003977BE"/>
    <w:rsid w:val="003D4870"/>
    <w:rsid w:val="0042122C"/>
    <w:rsid w:val="00595880"/>
    <w:rsid w:val="005B4714"/>
    <w:rsid w:val="005F3240"/>
    <w:rsid w:val="00646244"/>
    <w:rsid w:val="006A5CAB"/>
    <w:rsid w:val="00724329"/>
    <w:rsid w:val="00727E20"/>
    <w:rsid w:val="007A2087"/>
    <w:rsid w:val="007E62EC"/>
    <w:rsid w:val="00904888"/>
    <w:rsid w:val="009A66F4"/>
    <w:rsid w:val="009E2401"/>
    <w:rsid w:val="00A702E5"/>
    <w:rsid w:val="00AA7CBD"/>
    <w:rsid w:val="00B92016"/>
    <w:rsid w:val="00C50CC5"/>
    <w:rsid w:val="00CD3344"/>
    <w:rsid w:val="00CE4AE1"/>
    <w:rsid w:val="00DA44A2"/>
    <w:rsid w:val="00E0165E"/>
    <w:rsid w:val="00E44D41"/>
    <w:rsid w:val="00F26222"/>
    <w:rsid w:val="00F27137"/>
    <w:rsid w:val="00F3020C"/>
    <w:rsid w:val="00F82174"/>
    <w:rsid w:val="00FB7F84"/>
    <w:rsid w:val="00FE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BD"/>
    <w:pPr>
      <w:spacing w:after="0" w:line="240" w:lineRule="auto"/>
    </w:pPr>
    <w:rPr>
      <w:sz w:val="24"/>
      <w:szCs w:val="24"/>
    </w:rPr>
  </w:style>
  <w:style w:type="paragraph" w:styleId="1">
    <w:name w:val="heading 1"/>
    <w:basedOn w:val="a"/>
    <w:next w:val="a"/>
    <w:link w:val="10"/>
    <w:uiPriority w:val="9"/>
    <w:qFormat/>
    <w:rsid w:val="00AA7C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A7C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7C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7CBD"/>
    <w:pPr>
      <w:keepNext/>
      <w:spacing w:before="240" w:after="60"/>
      <w:outlineLvl w:val="3"/>
    </w:pPr>
    <w:rPr>
      <w:b/>
      <w:bCs/>
      <w:sz w:val="28"/>
      <w:szCs w:val="28"/>
    </w:rPr>
  </w:style>
  <w:style w:type="paragraph" w:styleId="5">
    <w:name w:val="heading 5"/>
    <w:basedOn w:val="a"/>
    <w:next w:val="a"/>
    <w:link w:val="50"/>
    <w:uiPriority w:val="9"/>
    <w:semiHidden/>
    <w:unhideWhenUsed/>
    <w:qFormat/>
    <w:rsid w:val="00AA7CBD"/>
    <w:pPr>
      <w:spacing w:before="240" w:after="60"/>
      <w:outlineLvl w:val="4"/>
    </w:pPr>
    <w:rPr>
      <w:b/>
      <w:bCs/>
      <w:i/>
      <w:iCs/>
      <w:sz w:val="26"/>
      <w:szCs w:val="26"/>
    </w:rPr>
  </w:style>
  <w:style w:type="paragraph" w:styleId="6">
    <w:name w:val="heading 6"/>
    <w:basedOn w:val="a"/>
    <w:next w:val="a"/>
    <w:link w:val="60"/>
    <w:uiPriority w:val="9"/>
    <w:semiHidden/>
    <w:unhideWhenUsed/>
    <w:qFormat/>
    <w:rsid w:val="00AA7CBD"/>
    <w:pPr>
      <w:spacing w:before="240" w:after="60"/>
      <w:outlineLvl w:val="5"/>
    </w:pPr>
    <w:rPr>
      <w:b/>
      <w:bCs/>
      <w:sz w:val="22"/>
      <w:szCs w:val="22"/>
    </w:rPr>
  </w:style>
  <w:style w:type="paragraph" w:styleId="7">
    <w:name w:val="heading 7"/>
    <w:basedOn w:val="a"/>
    <w:next w:val="a"/>
    <w:link w:val="70"/>
    <w:uiPriority w:val="9"/>
    <w:semiHidden/>
    <w:unhideWhenUsed/>
    <w:qFormat/>
    <w:rsid w:val="00AA7CBD"/>
    <w:pPr>
      <w:spacing w:before="240" w:after="60"/>
      <w:outlineLvl w:val="6"/>
    </w:pPr>
  </w:style>
  <w:style w:type="paragraph" w:styleId="8">
    <w:name w:val="heading 8"/>
    <w:basedOn w:val="a"/>
    <w:next w:val="a"/>
    <w:link w:val="80"/>
    <w:uiPriority w:val="9"/>
    <w:semiHidden/>
    <w:unhideWhenUsed/>
    <w:qFormat/>
    <w:rsid w:val="00AA7CBD"/>
    <w:pPr>
      <w:spacing w:before="240" w:after="60"/>
      <w:outlineLvl w:val="7"/>
    </w:pPr>
    <w:rPr>
      <w:i/>
      <w:iCs/>
    </w:rPr>
  </w:style>
  <w:style w:type="paragraph" w:styleId="9">
    <w:name w:val="heading 9"/>
    <w:basedOn w:val="a"/>
    <w:next w:val="a"/>
    <w:link w:val="90"/>
    <w:uiPriority w:val="9"/>
    <w:semiHidden/>
    <w:unhideWhenUsed/>
    <w:qFormat/>
    <w:rsid w:val="00AA7C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C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A7C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A7CBD"/>
    <w:rPr>
      <w:rFonts w:asciiTheme="majorHAnsi" w:eastAsiaTheme="majorEastAsia" w:hAnsiTheme="majorHAnsi"/>
      <w:b/>
      <w:bCs/>
      <w:sz w:val="26"/>
      <w:szCs w:val="26"/>
    </w:rPr>
  </w:style>
  <w:style w:type="character" w:customStyle="1" w:styleId="40">
    <w:name w:val="Заголовок 4 Знак"/>
    <w:basedOn w:val="a0"/>
    <w:link w:val="4"/>
    <w:uiPriority w:val="9"/>
    <w:rsid w:val="00AA7CBD"/>
    <w:rPr>
      <w:b/>
      <w:bCs/>
      <w:sz w:val="28"/>
      <w:szCs w:val="28"/>
    </w:rPr>
  </w:style>
  <w:style w:type="character" w:customStyle="1" w:styleId="50">
    <w:name w:val="Заголовок 5 Знак"/>
    <w:basedOn w:val="a0"/>
    <w:link w:val="5"/>
    <w:uiPriority w:val="9"/>
    <w:semiHidden/>
    <w:rsid w:val="00AA7CBD"/>
    <w:rPr>
      <w:b/>
      <w:bCs/>
      <w:i/>
      <w:iCs/>
      <w:sz w:val="26"/>
      <w:szCs w:val="26"/>
    </w:rPr>
  </w:style>
  <w:style w:type="character" w:customStyle="1" w:styleId="60">
    <w:name w:val="Заголовок 6 Знак"/>
    <w:basedOn w:val="a0"/>
    <w:link w:val="6"/>
    <w:uiPriority w:val="9"/>
    <w:semiHidden/>
    <w:rsid w:val="00AA7CBD"/>
    <w:rPr>
      <w:b/>
      <w:bCs/>
    </w:rPr>
  </w:style>
  <w:style w:type="character" w:customStyle="1" w:styleId="70">
    <w:name w:val="Заголовок 7 Знак"/>
    <w:basedOn w:val="a0"/>
    <w:link w:val="7"/>
    <w:uiPriority w:val="9"/>
    <w:semiHidden/>
    <w:rsid w:val="00AA7CBD"/>
    <w:rPr>
      <w:sz w:val="24"/>
      <w:szCs w:val="24"/>
    </w:rPr>
  </w:style>
  <w:style w:type="character" w:customStyle="1" w:styleId="80">
    <w:name w:val="Заголовок 8 Знак"/>
    <w:basedOn w:val="a0"/>
    <w:link w:val="8"/>
    <w:uiPriority w:val="9"/>
    <w:semiHidden/>
    <w:rsid w:val="00AA7CBD"/>
    <w:rPr>
      <w:i/>
      <w:iCs/>
      <w:sz w:val="24"/>
      <w:szCs w:val="24"/>
    </w:rPr>
  </w:style>
  <w:style w:type="character" w:customStyle="1" w:styleId="90">
    <w:name w:val="Заголовок 9 Знак"/>
    <w:basedOn w:val="a0"/>
    <w:link w:val="9"/>
    <w:uiPriority w:val="9"/>
    <w:semiHidden/>
    <w:rsid w:val="00AA7CBD"/>
    <w:rPr>
      <w:rFonts w:asciiTheme="majorHAnsi" w:eastAsiaTheme="majorEastAsia" w:hAnsiTheme="majorHAnsi"/>
    </w:rPr>
  </w:style>
  <w:style w:type="paragraph" w:styleId="a3">
    <w:name w:val="Title"/>
    <w:basedOn w:val="a"/>
    <w:next w:val="a"/>
    <w:link w:val="a4"/>
    <w:uiPriority w:val="10"/>
    <w:qFormat/>
    <w:rsid w:val="00AA7CB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A7CBD"/>
    <w:rPr>
      <w:rFonts w:asciiTheme="majorHAnsi" w:eastAsiaTheme="majorEastAsia" w:hAnsiTheme="majorHAnsi"/>
      <w:b/>
      <w:bCs/>
      <w:kern w:val="28"/>
      <w:sz w:val="32"/>
      <w:szCs w:val="32"/>
    </w:rPr>
  </w:style>
  <w:style w:type="paragraph" w:styleId="a5">
    <w:name w:val="Subtitle"/>
    <w:basedOn w:val="a"/>
    <w:next w:val="a"/>
    <w:link w:val="a6"/>
    <w:uiPriority w:val="11"/>
    <w:qFormat/>
    <w:rsid w:val="00AA7CB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A7CBD"/>
    <w:rPr>
      <w:rFonts w:asciiTheme="majorHAnsi" w:eastAsiaTheme="majorEastAsia" w:hAnsiTheme="majorHAnsi"/>
      <w:sz w:val="24"/>
      <w:szCs w:val="24"/>
    </w:rPr>
  </w:style>
  <w:style w:type="character" w:styleId="a7">
    <w:name w:val="Strong"/>
    <w:basedOn w:val="a0"/>
    <w:uiPriority w:val="22"/>
    <w:qFormat/>
    <w:rsid w:val="00AA7CBD"/>
    <w:rPr>
      <w:b/>
      <w:bCs/>
    </w:rPr>
  </w:style>
  <w:style w:type="character" w:styleId="a8">
    <w:name w:val="Emphasis"/>
    <w:basedOn w:val="a0"/>
    <w:uiPriority w:val="20"/>
    <w:qFormat/>
    <w:rsid w:val="00AA7CBD"/>
    <w:rPr>
      <w:rFonts w:asciiTheme="minorHAnsi" w:hAnsiTheme="minorHAnsi"/>
      <w:b/>
      <w:i/>
      <w:iCs/>
    </w:rPr>
  </w:style>
  <w:style w:type="paragraph" w:styleId="a9">
    <w:name w:val="No Spacing"/>
    <w:basedOn w:val="a"/>
    <w:uiPriority w:val="1"/>
    <w:qFormat/>
    <w:rsid w:val="00AA7CBD"/>
    <w:rPr>
      <w:szCs w:val="32"/>
    </w:rPr>
  </w:style>
  <w:style w:type="paragraph" w:styleId="aa">
    <w:name w:val="List Paragraph"/>
    <w:basedOn w:val="a"/>
    <w:uiPriority w:val="34"/>
    <w:qFormat/>
    <w:rsid w:val="00AA7CBD"/>
    <w:pPr>
      <w:ind w:left="720"/>
      <w:contextualSpacing/>
    </w:pPr>
  </w:style>
  <w:style w:type="paragraph" w:styleId="21">
    <w:name w:val="Quote"/>
    <w:basedOn w:val="a"/>
    <w:next w:val="a"/>
    <w:link w:val="22"/>
    <w:uiPriority w:val="29"/>
    <w:qFormat/>
    <w:rsid w:val="00AA7CBD"/>
    <w:rPr>
      <w:i/>
    </w:rPr>
  </w:style>
  <w:style w:type="character" w:customStyle="1" w:styleId="22">
    <w:name w:val="Цитата 2 Знак"/>
    <w:basedOn w:val="a0"/>
    <w:link w:val="21"/>
    <w:uiPriority w:val="29"/>
    <w:rsid w:val="00AA7CBD"/>
    <w:rPr>
      <w:i/>
      <w:sz w:val="24"/>
      <w:szCs w:val="24"/>
    </w:rPr>
  </w:style>
  <w:style w:type="paragraph" w:styleId="ab">
    <w:name w:val="Intense Quote"/>
    <w:basedOn w:val="a"/>
    <w:next w:val="a"/>
    <w:link w:val="ac"/>
    <w:uiPriority w:val="30"/>
    <w:qFormat/>
    <w:rsid w:val="00AA7CBD"/>
    <w:pPr>
      <w:ind w:left="720" w:right="720"/>
    </w:pPr>
    <w:rPr>
      <w:b/>
      <w:i/>
      <w:szCs w:val="22"/>
    </w:rPr>
  </w:style>
  <w:style w:type="character" w:customStyle="1" w:styleId="ac">
    <w:name w:val="Выделенная цитата Знак"/>
    <w:basedOn w:val="a0"/>
    <w:link w:val="ab"/>
    <w:uiPriority w:val="30"/>
    <w:rsid w:val="00AA7CBD"/>
    <w:rPr>
      <w:b/>
      <w:i/>
      <w:sz w:val="24"/>
    </w:rPr>
  </w:style>
  <w:style w:type="character" w:styleId="ad">
    <w:name w:val="Subtle Emphasis"/>
    <w:uiPriority w:val="19"/>
    <w:qFormat/>
    <w:rsid w:val="00AA7CBD"/>
    <w:rPr>
      <w:i/>
      <w:color w:val="5A5A5A" w:themeColor="text1" w:themeTint="A5"/>
    </w:rPr>
  </w:style>
  <w:style w:type="character" w:styleId="ae">
    <w:name w:val="Intense Emphasis"/>
    <w:basedOn w:val="a0"/>
    <w:uiPriority w:val="21"/>
    <w:qFormat/>
    <w:rsid w:val="00AA7CBD"/>
    <w:rPr>
      <w:b/>
      <w:i/>
      <w:sz w:val="24"/>
      <w:szCs w:val="24"/>
      <w:u w:val="single"/>
    </w:rPr>
  </w:style>
  <w:style w:type="character" w:styleId="af">
    <w:name w:val="Subtle Reference"/>
    <w:basedOn w:val="a0"/>
    <w:uiPriority w:val="31"/>
    <w:qFormat/>
    <w:rsid w:val="00AA7CBD"/>
    <w:rPr>
      <w:sz w:val="24"/>
      <w:szCs w:val="24"/>
      <w:u w:val="single"/>
    </w:rPr>
  </w:style>
  <w:style w:type="character" w:styleId="af0">
    <w:name w:val="Intense Reference"/>
    <w:basedOn w:val="a0"/>
    <w:uiPriority w:val="32"/>
    <w:qFormat/>
    <w:rsid w:val="00AA7CBD"/>
    <w:rPr>
      <w:b/>
      <w:sz w:val="24"/>
      <w:u w:val="single"/>
    </w:rPr>
  </w:style>
  <w:style w:type="character" w:styleId="af1">
    <w:name w:val="Book Title"/>
    <w:basedOn w:val="a0"/>
    <w:uiPriority w:val="33"/>
    <w:qFormat/>
    <w:rsid w:val="00AA7CB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A7CBD"/>
    <w:pPr>
      <w:outlineLvl w:val="9"/>
    </w:pPr>
  </w:style>
  <w:style w:type="paragraph" w:styleId="af3">
    <w:name w:val="Normal (Web)"/>
    <w:basedOn w:val="a"/>
    <w:uiPriority w:val="99"/>
    <w:semiHidden/>
    <w:unhideWhenUsed/>
    <w:rsid w:val="00096EFA"/>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096EFA"/>
    <w:rPr>
      <w:color w:val="0000FF"/>
      <w:u w:val="single"/>
    </w:rPr>
  </w:style>
  <w:style w:type="character" w:customStyle="1" w:styleId="apple-converted-space">
    <w:name w:val="apple-converted-space"/>
    <w:basedOn w:val="a0"/>
    <w:rsid w:val="00096EFA"/>
  </w:style>
</w:styles>
</file>

<file path=word/webSettings.xml><?xml version="1.0" encoding="utf-8"?>
<w:webSettings xmlns:r="http://schemas.openxmlformats.org/officeDocument/2006/relationships" xmlns:w="http://schemas.openxmlformats.org/wordprocessingml/2006/main">
  <w:divs>
    <w:div w:id="5710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5969</Characters>
  <Application>Microsoft Office Word</Application>
  <DocSecurity>0</DocSecurity>
  <Lines>49</Lines>
  <Paragraphs>14</Paragraphs>
  <ScaleCrop>false</ScaleCrop>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2016-10-09T09:20:00Z</dcterms:created>
  <dcterms:modified xsi:type="dcterms:W3CDTF">2016-10-09T09:21:00Z</dcterms:modified>
</cp:coreProperties>
</file>