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E24E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7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8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1A5095" w:rsidRPr="00C07B19" w:rsidRDefault="009B09ED" w:rsidP="001A5095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</w:t>
      </w:r>
      <w:r w:rsidR="001A509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1A50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07B19" w:rsidRPr="00C07B19">
        <w:rPr>
          <w:rFonts w:ascii="Times New Roman" w:hAnsi="Times New Roman"/>
          <w:b/>
          <w:sz w:val="28"/>
          <w:szCs w:val="28"/>
        </w:rPr>
        <w:t>Положения о формировании архивных фондов</w:t>
      </w:r>
      <w:r w:rsidR="00C07B19" w:rsidRPr="00C07B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7B19" w:rsidRPr="00C07B19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  <w:r w:rsidR="001A5095" w:rsidRPr="00C07B1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17590" w:rsidRPr="00666C4F" w:rsidRDefault="00E17590" w:rsidP="001A50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24E9F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 w:rsidRPr="00C07B1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</w:t>
      </w:r>
      <w:r w:rsidR="001A50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но</w:t>
      </w:r>
      <w:r w:rsid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1AC9" w:rsidRDefault="003C1AC9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50619" w:rsidRPr="00E24E9F" w:rsidRDefault="00350619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350619" w:rsidRDefault="00350619" w:rsidP="00350619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350619" w:rsidRPr="00C07B19" w:rsidRDefault="00350619" w:rsidP="00350619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»_________ 201_ года 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07B19">
        <w:rPr>
          <w:rFonts w:ascii="Times New Roman" w:hAnsi="Times New Roman"/>
          <w:b/>
          <w:sz w:val="28"/>
          <w:szCs w:val="28"/>
        </w:rPr>
        <w:t>Положения о формировании архивных фондов</w:t>
      </w:r>
      <w:r w:rsidRPr="00C07B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7B19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  <w:r w:rsidRPr="00C07B1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E24E9F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16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но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ября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 w:rsidR="0035061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8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Установление явно завышенных требований, предъявляемых к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10610E"/>
    <w:rsid w:val="00157F20"/>
    <w:rsid w:val="00180FDC"/>
    <w:rsid w:val="001829CE"/>
    <w:rsid w:val="001A5095"/>
    <w:rsid w:val="0024454D"/>
    <w:rsid w:val="002A0556"/>
    <w:rsid w:val="00350619"/>
    <w:rsid w:val="003C1AC9"/>
    <w:rsid w:val="003C5D78"/>
    <w:rsid w:val="004634BC"/>
    <w:rsid w:val="004B2DE5"/>
    <w:rsid w:val="004C2FBA"/>
    <w:rsid w:val="004E68AB"/>
    <w:rsid w:val="00507174"/>
    <w:rsid w:val="00666C4F"/>
    <w:rsid w:val="006B67DE"/>
    <w:rsid w:val="006C585D"/>
    <w:rsid w:val="006E596D"/>
    <w:rsid w:val="00803572"/>
    <w:rsid w:val="008D77B4"/>
    <w:rsid w:val="00912154"/>
    <w:rsid w:val="009A2535"/>
    <w:rsid w:val="009B09ED"/>
    <w:rsid w:val="009D3EC8"/>
    <w:rsid w:val="009D5F91"/>
    <w:rsid w:val="009F50E2"/>
    <w:rsid w:val="00A238AE"/>
    <w:rsid w:val="00AE2563"/>
    <w:rsid w:val="00B17A14"/>
    <w:rsid w:val="00C07B19"/>
    <w:rsid w:val="00DF1BFE"/>
    <w:rsid w:val="00E17590"/>
    <w:rsid w:val="00E24E9F"/>
    <w:rsid w:val="00EF686D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633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976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5958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B027-25A7-4CC3-98B8-68E0071F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69</cp:revision>
  <cp:lastPrinted>2017-10-09T02:49:00Z</cp:lastPrinted>
  <dcterms:created xsi:type="dcterms:W3CDTF">2017-02-09T05:33:00Z</dcterms:created>
  <dcterms:modified xsi:type="dcterms:W3CDTF">2017-11-16T02:36:00Z</dcterms:modified>
</cp:coreProperties>
</file>